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14916A5" w:rsidR="006358BA" w:rsidRDefault="00777F79"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Pr="006F1C9E">
        <w:rPr>
          <w:rFonts w:cs="Arial"/>
          <w:b/>
          <w:sz w:val="24"/>
          <w:szCs w:val="24"/>
        </w:rPr>
        <w:t>9</w:t>
      </w:r>
      <w:r>
        <w:rPr>
          <w:rFonts w:cs="Arial"/>
          <w:b/>
          <w:sz w:val="24"/>
          <w:szCs w:val="24"/>
        </w:rPr>
        <w:t>4-e</w:t>
      </w:r>
      <w:r w:rsidR="006358BA">
        <w:rPr>
          <w:b/>
          <w:i/>
          <w:noProof/>
          <w:sz w:val="28"/>
        </w:rPr>
        <w:tab/>
      </w:r>
      <w:r w:rsidR="00267E9F" w:rsidRPr="00267E9F">
        <w:rPr>
          <w:rFonts w:cs="Arial"/>
          <w:b/>
          <w:sz w:val="24"/>
          <w:szCs w:val="24"/>
        </w:rPr>
        <w:t>R4-</w:t>
      </w:r>
      <w:r>
        <w:rPr>
          <w:rFonts w:cs="Arial"/>
          <w:b/>
          <w:sz w:val="24"/>
          <w:szCs w:val="24"/>
        </w:rPr>
        <w:t>200</w:t>
      </w:r>
      <w:r w:rsidR="00192089">
        <w:rPr>
          <w:rFonts w:cs="Arial"/>
          <w:b/>
          <w:sz w:val="24"/>
          <w:szCs w:val="24"/>
        </w:rPr>
        <w:t>2026</w:t>
      </w:r>
    </w:p>
    <w:p w14:paraId="70A7F93A" w14:textId="24E201EB" w:rsidR="007B1E88" w:rsidRDefault="00777F79" w:rsidP="00BB40EC">
      <w:pPr>
        <w:tabs>
          <w:tab w:val="left" w:pos="1985"/>
        </w:tabs>
        <w:spacing w:after="0"/>
        <w:jc w:val="both"/>
        <w:rPr>
          <w:rFonts w:ascii="Arial" w:eastAsia="SimSun" w:hAnsi="Arial"/>
          <w:b/>
          <w:bCs/>
          <w:noProof/>
          <w:sz w:val="22"/>
          <w:lang w:val="en-GB" w:eastAsia="zh-CN"/>
        </w:rPr>
      </w:pPr>
      <w:r w:rsidRPr="00777F79">
        <w:rPr>
          <w:rFonts w:ascii="Arial" w:eastAsia="SimSun" w:hAnsi="Arial"/>
          <w:b/>
          <w:bCs/>
          <w:noProof/>
          <w:sz w:val="22"/>
          <w:lang w:val="en-GB" w:eastAsia="zh-CN"/>
        </w:rPr>
        <w:t>Online, 24th February – 6th March, 2020</w:t>
      </w:r>
    </w:p>
    <w:p w14:paraId="0D705A5C" w14:textId="77777777" w:rsidR="00777F79" w:rsidRDefault="00777F79"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5D1DF1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6035E">
        <w:rPr>
          <w:rFonts w:cs="Arial"/>
          <w:sz w:val="22"/>
        </w:rPr>
        <w:t xml:space="preserve">UL Configuration for ULSUP TDM </w:t>
      </w:r>
      <w:r w:rsidR="003A3E73">
        <w:rPr>
          <w:rFonts w:cs="Arial"/>
          <w:sz w:val="22"/>
        </w:rPr>
        <w:t>C</w:t>
      </w:r>
      <w:r w:rsidR="0036035E">
        <w:rPr>
          <w:rFonts w:cs="Arial"/>
          <w:sz w:val="22"/>
        </w:rPr>
        <w:t>ombinations</w:t>
      </w:r>
    </w:p>
    <w:p w14:paraId="2616916E" w14:textId="22A2F124" w:rsidR="000E784E" w:rsidRDefault="00675C27" w:rsidP="000E784E">
      <w:pPr>
        <w:spacing w:after="0"/>
        <w:ind w:left="1985" w:hanging="1985"/>
        <w:jc w:val="both"/>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92089" w:rsidRPr="00192089">
        <w:rPr>
          <w:rFonts w:ascii="Arial" w:hAnsi="Arial" w:cs="Arial"/>
          <w:sz w:val="22"/>
        </w:rPr>
        <w:t>9.8.2 UE RF [NR_SUL_combos_R16-Core]</w:t>
      </w:r>
    </w:p>
    <w:p w14:paraId="2E5C6AEA" w14:textId="11AAB78D" w:rsidR="00675C27" w:rsidRPr="00A62DA7" w:rsidRDefault="00675C27" w:rsidP="000E784E">
      <w:pPr>
        <w:spacing w:after="0"/>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36035E">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ED4AF5A" w14:textId="5B75AFCF" w:rsidR="00792639" w:rsidRPr="00792639" w:rsidRDefault="009A30BB" w:rsidP="00712FBC">
      <w:pPr>
        <w:overflowPunct/>
        <w:autoSpaceDE/>
        <w:autoSpaceDN/>
        <w:adjustRightInd/>
        <w:spacing w:after="0"/>
        <w:jc w:val="both"/>
        <w:textAlignment w:val="auto"/>
        <w:rPr>
          <w:lang w:eastAsia="zh-CN"/>
        </w:rPr>
      </w:pPr>
      <w:r>
        <w:rPr>
          <w:rFonts w:eastAsia="SimSun"/>
          <w:lang w:eastAsia="zh-CN"/>
        </w:rPr>
        <w:t>In RAN</w:t>
      </w:r>
      <w:r w:rsidR="008063BB">
        <w:rPr>
          <w:rFonts w:eastAsia="SimSun"/>
          <w:lang w:eastAsia="zh-CN"/>
        </w:rPr>
        <w:t>4</w:t>
      </w:r>
      <w:r w:rsidR="00154E81">
        <w:rPr>
          <w:rFonts w:eastAsia="SimSun"/>
          <w:lang w:eastAsia="zh-CN"/>
        </w:rPr>
        <w:t>#</w:t>
      </w:r>
      <w:r w:rsidR="008063BB">
        <w:rPr>
          <w:rFonts w:eastAsia="SimSun"/>
          <w:lang w:eastAsia="zh-CN"/>
        </w:rPr>
        <w:t>9</w:t>
      </w:r>
      <w:r w:rsidR="00750DAF">
        <w:rPr>
          <w:rFonts w:eastAsia="SimSun"/>
          <w:lang w:eastAsia="zh-CN"/>
        </w:rPr>
        <w:t>3</w:t>
      </w:r>
      <w:r w:rsidR="00154E81">
        <w:rPr>
          <w:rFonts w:eastAsia="SimSun"/>
          <w:lang w:eastAsia="zh-CN"/>
        </w:rPr>
        <w:t xml:space="preserve"> meeting</w:t>
      </w:r>
      <w:r>
        <w:rPr>
          <w:rFonts w:eastAsia="SimSun"/>
          <w:lang w:eastAsia="zh-CN"/>
        </w:rPr>
        <w:t xml:space="preserve">, </w:t>
      </w:r>
      <w:r w:rsidR="000E784E">
        <w:rPr>
          <w:rFonts w:eastAsia="SimSun"/>
          <w:lang w:eastAsia="zh-CN"/>
        </w:rPr>
        <w:t>we discussed in [1] the fact that MSD and MPR requirements are missing for FDM mode of ULSUP which was already observed in [2]. In this</w:t>
      </w:r>
      <w:r w:rsidR="00AA5AA9">
        <w:rPr>
          <w:rFonts w:eastAsia="SimSun"/>
          <w:lang w:eastAsia="zh-CN"/>
        </w:rPr>
        <w:t xml:space="preserve"> contribution, </w:t>
      </w:r>
      <w:r w:rsidR="00D37C63">
        <w:rPr>
          <w:rFonts w:eastAsia="SimSun"/>
          <w:lang w:eastAsia="zh-CN"/>
        </w:rPr>
        <w:t xml:space="preserve">we have looked at some potential clarification needed in TDM for SUL UL configurations to avoid </w:t>
      </w:r>
      <w:r w:rsidR="00192089">
        <w:rPr>
          <w:rFonts w:eastAsia="SimSun"/>
          <w:lang w:eastAsia="zh-CN"/>
        </w:rPr>
        <w:t xml:space="preserve">LTE </w:t>
      </w:r>
      <w:r w:rsidR="00D37C63">
        <w:rPr>
          <w:rFonts w:eastAsia="SimSun"/>
          <w:lang w:eastAsia="zh-CN"/>
        </w:rPr>
        <w:t>de</w:t>
      </w:r>
      <w:r w:rsidR="0036035E">
        <w:rPr>
          <w:rFonts w:eastAsia="SimSun"/>
          <w:lang w:eastAsia="zh-CN"/>
        </w:rPr>
        <w:t>-</w:t>
      </w:r>
      <w:r w:rsidR="00D37C63">
        <w:rPr>
          <w:rFonts w:eastAsia="SimSun"/>
          <w:lang w:eastAsia="zh-CN"/>
        </w:rPr>
        <w:t xml:space="preserve">sense </w:t>
      </w:r>
      <w:r w:rsidR="00192089">
        <w:rPr>
          <w:rFonts w:eastAsia="SimSun"/>
          <w:lang w:eastAsia="zh-CN"/>
        </w:rPr>
        <w:t>for ULSUP TDM combinations</w:t>
      </w:r>
      <w:r w:rsidR="003A3E73">
        <w:rPr>
          <w:rFonts w:eastAsia="SimSun"/>
          <w:lang w:eastAsia="zh-CN"/>
        </w:rPr>
        <w:t xml:space="preserve"> using</w:t>
      </w:r>
      <w:r w:rsidR="00192089" w:rsidRPr="00192089">
        <w:rPr>
          <w:rFonts w:eastAsia="SimSun"/>
          <w:lang w:eastAsia="zh-CN"/>
        </w:rPr>
        <w:t xml:space="preserve"> </w:t>
      </w:r>
      <w:r w:rsidR="00192089">
        <w:rPr>
          <w:rFonts w:eastAsia="SimSun"/>
          <w:lang w:eastAsia="zh-CN"/>
        </w:rPr>
        <w:t>the corresponding LTE DL band</w:t>
      </w:r>
      <w:r w:rsidR="00D37C63">
        <w:rPr>
          <w:rFonts w:eastAsia="SimSun"/>
          <w:lang w:eastAsia="zh-CN"/>
        </w:rPr>
        <w:t>.</w:t>
      </w:r>
      <w:r w:rsidR="000E784E">
        <w:rPr>
          <w:rFonts w:eastAsia="SimSun"/>
          <w:lang w:eastAsia="zh-CN"/>
        </w:rPr>
        <w:t xml:space="preserve"> </w:t>
      </w:r>
    </w:p>
    <w:p w14:paraId="3BD4CF7B" w14:textId="6E287C1F" w:rsidR="006135E7" w:rsidRDefault="00853ECB" w:rsidP="006135E7">
      <w:pPr>
        <w:pStyle w:val="Heading1"/>
        <w:jc w:val="both"/>
        <w:rPr>
          <w:lang w:val="en-US"/>
        </w:rPr>
      </w:pPr>
      <w:r>
        <w:rPr>
          <w:rFonts w:eastAsia="SimSun" w:hint="eastAsia"/>
          <w:lang w:eastAsia="zh-CN"/>
        </w:rPr>
        <w:t>Discussion</w:t>
      </w:r>
    </w:p>
    <w:p w14:paraId="27DAAA71" w14:textId="631C2493" w:rsidR="006135E7" w:rsidRDefault="00D37C63" w:rsidP="006135E7">
      <w:pPr>
        <w:pStyle w:val="Heading2"/>
        <w:spacing w:after="240"/>
        <w:rPr>
          <w:sz w:val="36"/>
          <w:lang w:val="en-US"/>
        </w:rPr>
      </w:pPr>
      <w:r>
        <w:rPr>
          <w:sz w:val="36"/>
          <w:lang w:val="en-US"/>
        </w:rPr>
        <w:t>SUL Band Definition</w:t>
      </w:r>
    </w:p>
    <w:p w14:paraId="38D56C60" w14:textId="63A1C182" w:rsidR="00481261" w:rsidRDefault="003C2764" w:rsidP="00D37C63">
      <w:pPr>
        <w:spacing w:after="0"/>
        <w:jc w:val="both"/>
        <w:rPr>
          <w:lang w:eastAsia="ja-JP"/>
        </w:rPr>
      </w:pPr>
      <w:r>
        <w:t>Withi</w:t>
      </w:r>
      <w:r w:rsidR="00EA2510">
        <w:rPr>
          <w:rFonts w:eastAsia="SimSun"/>
          <w:lang w:eastAsia="zh-CN"/>
        </w:rPr>
        <w:t>n current Release 15</w:t>
      </w:r>
      <w:r w:rsidR="00D37C63">
        <w:rPr>
          <w:rFonts w:eastAsia="SimSun"/>
          <w:lang w:eastAsia="zh-CN"/>
        </w:rPr>
        <w:t>/16</w:t>
      </w:r>
      <w:r w:rsidR="00EA2510">
        <w:rPr>
          <w:rFonts w:eastAsia="SimSun"/>
          <w:lang w:eastAsia="zh-CN"/>
        </w:rPr>
        <w:t xml:space="preserve"> 38.010-3 specification</w:t>
      </w:r>
      <w:r w:rsidR="003A3E73">
        <w:rPr>
          <w:rFonts w:eastAsia="SimSun"/>
          <w:lang w:eastAsia="zh-CN"/>
        </w:rPr>
        <w:t>,</w:t>
      </w:r>
      <w:r w:rsidR="00EA2510">
        <w:rPr>
          <w:lang w:eastAsia="ja-JP"/>
        </w:rPr>
        <w:t xml:space="preserve"> there are a few </w:t>
      </w:r>
      <w:r w:rsidR="00D37C63">
        <w:rPr>
          <w:lang w:eastAsia="ja-JP"/>
        </w:rPr>
        <w:t xml:space="preserve">SUL bands defined and some of them support higher channel bandwidth than their LTE band counterpart as they usually inherit from the corresponding re-farmed NR channel configurations. </w:t>
      </w:r>
    </w:p>
    <w:p w14:paraId="12D798E8" w14:textId="77777777" w:rsidR="00D37C63" w:rsidRDefault="00D37C63" w:rsidP="00D37C63">
      <w:pPr>
        <w:spacing w:after="0"/>
        <w:jc w:val="both"/>
        <w:rPr>
          <w:rFonts w:eastAsia="SimSun"/>
          <w:b/>
          <w:bCs/>
          <w:lang w:val="en-GB" w:eastAsia="ja-JP"/>
        </w:rPr>
      </w:pPr>
    </w:p>
    <w:p w14:paraId="7EBE37D9" w14:textId="63F19EA1" w:rsidR="00247436" w:rsidRPr="00DA2104" w:rsidRDefault="003A3E73" w:rsidP="00247436">
      <w:pPr>
        <w:jc w:val="both"/>
        <w:rPr>
          <w:lang w:eastAsia="ja-JP"/>
        </w:rPr>
      </w:pPr>
      <w:r>
        <w:rPr>
          <w:rFonts w:eastAsia="SimSun"/>
          <w:bCs/>
          <w:lang w:val="en-GB" w:eastAsia="ja-JP"/>
        </w:rPr>
        <w:t>I</w:t>
      </w:r>
      <w:r w:rsidR="00481261" w:rsidRPr="00481261">
        <w:rPr>
          <w:rFonts w:eastAsia="SimSun"/>
          <w:bCs/>
          <w:lang w:val="en-GB" w:eastAsia="ja-JP"/>
        </w:rPr>
        <w:t xml:space="preserve">t is understood that TDM mode does not have simultaneous 2 UL in the same </w:t>
      </w:r>
      <w:proofErr w:type="gramStart"/>
      <w:r w:rsidR="00481261" w:rsidRPr="00481261">
        <w:rPr>
          <w:rFonts w:eastAsia="SimSun"/>
          <w:bCs/>
          <w:lang w:val="en-GB" w:eastAsia="ja-JP"/>
        </w:rPr>
        <w:t>channel</w:t>
      </w:r>
      <w:r>
        <w:rPr>
          <w:rFonts w:eastAsia="SimSun"/>
          <w:bCs/>
          <w:lang w:val="en-GB" w:eastAsia="ja-JP"/>
        </w:rPr>
        <w:t>,</w:t>
      </w:r>
      <w:proofErr w:type="gramEnd"/>
      <w:r w:rsidR="00247436">
        <w:rPr>
          <w:rFonts w:eastAsia="SimSun"/>
          <w:bCs/>
          <w:lang w:val="en-GB" w:eastAsia="ja-JP"/>
        </w:rPr>
        <w:t xml:space="preserve"> </w:t>
      </w:r>
      <w:r>
        <w:rPr>
          <w:rFonts w:eastAsia="SimSun"/>
          <w:bCs/>
          <w:lang w:val="en-GB" w:eastAsia="ja-JP"/>
        </w:rPr>
        <w:t>however,</w:t>
      </w:r>
      <w:r w:rsidR="00247436">
        <w:rPr>
          <w:rFonts w:eastAsia="SimSun"/>
          <w:bCs/>
          <w:lang w:val="en-GB" w:eastAsia="ja-JP"/>
        </w:rPr>
        <w:t xml:space="preserve"> it is unclear how the NR SUL UL configurations compare with the LTE case</w:t>
      </w:r>
      <w:r w:rsidR="00293EBB">
        <w:rPr>
          <w:rFonts w:eastAsia="SimSun"/>
          <w:bCs/>
          <w:lang w:val="en-GB" w:eastAsia="ja-JP"/>
        </w:rPr>
        <w:t>.</w:t>
      </w:r>
      <w:r w:rsidR="00247436">
        <w:rPr>
          <w:rFonts w:eastAsia="SimSun"/>
          <w:bCs/>
          <w:lang w:val="en-GB" w:eastAsia="ja-JP"/>
        </w:rPr>
        <w:t xml:space="preserve"> Especially, as for example in </w:t>
      </w:r>
      <w:r w:rsidR="00EA2510">
        <w:rPr>
          <w:rFonts w:eastAsia="SimSun"/>
          <w:lang w:eastAsia="zh-CN"/>
        </w:rPr>
        <w:t>current Release 1</w:t>
      </w:r>
      <w:r w:rsidR="00293EBB">
        <w:rPr>
          <w:rFonts w:eastAsia="SimSun"/>
          <w:lang w:eastAsia="zh-CN"/>
        </w:rPr>
        <w:t>5</w:t>
      </w:r>
      <w:r w:rsidR="00EA2510">
        <w:rPr>
          <w:rFonts w:eastAsia="SimSun"/>
          <w:lang w:eastAsia="zh-CN"/>
        </w:rPr>
        <w:t xml:space="preserve"> specification</w:t>
      </w:r>
      <w:r w:rsidR="003C2764">
        <w:rPr>
          <w:rFonts w:eastAsia="SimSun"/>
          <w:lang w:eastAsia="zh-CN"/>
        </w:rPr>
        <w:t>,</w:t>
      </w:r>
      <w:r w:rsidR="00EA2510">
        <w:rPr>
          <w:lang w:eastAsia="ja-JP"/>
        </w:rPr>
        <w:t xml:space="preserve"> there are </w:t>
      </w:r>
      <w:r w:rsidR="00293EBB">
        <w:rPr>
          <w:lang w:eastAsia="ja-JP"/>
        </w:rPr>
        <w:t xml:space="preserve">SUL band definitions that have channel bandwidths that are higher than for the corresponding LTE band at shown in Table </w:t>
      </w:r>
      <w:r w:rsidR="00D37C63">
        <w:rPr>
          <w:lang w:eastAsia="ja-JP"/>
        </w:rPr>
        <w:t>1</w:t>
      </w:r>
      <w:r w:rsidR="00293EBB">
        <w:rPr>
          <w:lang w:eastAsia="ja-JP"/>
        </w:rPr>
        <w:t xml:space="preserve">. </w:t>
      </w:r>
    </w:p>
    <w:p w14:paraId="18E5E723" w14:textId="7759F21F" w:rsidR="006135E7" w:rsidRDefault="006135E7" w:rsidP="006135E7">
      <w:pPr>
        <w:pStyle w:val="Caption"/>
        <w:keepNext/>
        <w:jc w:val="center"/>
      </w:pPr>
      <w:r>
        <w:t xml:space="preserve">Table </w:t>
      </w:r>
      <w:r w:rsidR="00B6099A">
        <w:fldChar w:fldCharType="begin"/>
      </w:r>
      <w:r w:rsidR="00B6099A">
        <w:instrText xml:space="preserve"> SEQ Table \* ARABIC </w:instrText>
      </w:r>
      <w:r w:rsidR="00B6099A">
        <w:fldChar w:fldCharType="separate"/>
      </w:r>
      <w:r>
        <w:rPr>
          <w:noProof/>
        </w:rPr>
        <w:t>1</w:t>
      </w:r>
      <w:r w:rsidR="00B6099A">
        <w:rPr>
          <w:noProof/>
        </w:rPr>
        <w:fldChar w:fldCharType="end"/>
      </w:r>
      <w:r>
        <w:t>: NR SUL band and corresponding LTE channel bandwidths</w:t>
      </w:r>
    </w:p>
    <w:tbl>
      <w:tblPr>
        <w:tblStyle w:val="Tabellengitternetz1"/>
        <w:tblW w:w="4912" w:type="dxa"/>
        <w:jc w:val="center"/>
        <w:tblInd w:w="262" w:type="dxa"/>
        <w:tblLook w:val="0600" w:firstRow="0" w:lastRow="0" w:firstColumn="0" w:lastColumn="0" w:noHBand="1" w:noVBand="1"/>
      </w:tblPr>
      <w:tblGrid>
        <w:gridCol w:w="756"/>
        <w:gridCol w:w="836"/>
        <w:gridCol w:w="1412"/>
        <w:gridCol w:w="907"/>
        <w:gridCol w:w="1001"/>
      </w:tblGrid>
      <w:tr w:rsidR="00293EBB" w:rsidRPr="00293EBB" w14:paraId="57736E50" w14:textId="1FA6E886" w:rsidTr="006135E7">
        <w:trPr>
          <w:trHeight w:val="168"/>
          <w:jc w:val="center"/>
        </w:trPr>
        <w:tc>
          <w:tcPr>
            <w:tcW w:w="756" w:type="dxa"/>
            <w:hideMark/>
          </w:tcPr>
          <w:p w14:paraId="20F15517" w14:textId="77777777" w:rsidR="00293EBB" w:rsidRPr="00293EBB" w:rsidRDefault="00293EBB" w:rsidP="00293EBB">
            <w:pPr>
              <w:overflowPunct/>
              <w:autoSpaceDE/>
              <w:autoSpaceDN/>
              <w:adjustRightInd/>
              <w:spacing w:after="0" w:line="168" w:lineRule="atLeast"/>
              <w:jc w:val="center"/>
              <w:textAlignment w:val="bottom"/>
              <w:rPr>
                <w:rFonts w:ascii="Arial" w:hAnsi="Arial" w:cs="Arial"/>
              </w:rPr>
            </w:pPr>
            <w:r w:rsidRPr="00293EBB">
              <w:rPr>
                <w:rFonts w:ascii="Calibri" w:hAnsi="Calibri" w:cs="Arial"/>
                <w:color w:val="000000" w:themeColor="text1"/>
                <w:kern w:val="24"/>
              </w:rPr>
              <w:t xml:space="preserve">SUL band </w:t>
            </w:r>
          </w:p>
        </w:tc>
        <w:tc>
          <w:tcPr>
            <w:tcW w:w="836" w:type="dxa"/>
            <w:hideMark/>
          </w:tcPr>
          <w:p w14:paraId="7946FA3B" w14:textId="77777777" w:rsidR="00293EBB" w:rsidRDefault="00293EBB" w:rsidP="00293EBB">
            <w:pPr>
              <w:overflowPunct/>
              <w:autoSpaceDE/>
              <w:autoSpaceDN/>
              <w:adjustRightInd/>
              <w:spacing w:after="0" w:line="168" w:lineRule="atLeast"/>
              <w:jc w:val="center"/>
              <w:textAlignment w:val="bottom"/>
              <w:rPr>
                <w:rFonts w:ascii="Calibri" w:hAnsi="Calibri" w:cs="Arial"/>
                <w:color w:val="000000" w:themeColor="text1"/>
                <w:kern w:val="24"/>
                <w:lang w:val="en-CA"/>
              </w:rPr>
            </w:pPr>
            <w:r w:rsidRPr="00293EBB">
              <w:rPr>
                <w:rFonts w:ascii="Calibri" w:hAnsi="Calibri" w:cs="Arial"/>
                <w:color w:val="000000" w:themeColor="text1"/>
                <w:kern w:val="24"/>
                <w:lang w:val="en-CA"/>
              </w:rPr>
              <w:t>CH BW</w:t>
            </w:r>
          </w:p>
          <w:p w14:paraId="655A15D1" w14:textId="5320848F" w:rsidR="00293EBB" w:rsidRPr="00293EBB" w:rsidRDefault="00293EBB" w:rsidP="00293EBB">
            <w:pPr>
              <w:overflowPunct/>
              <w:autoSpaceDE/>
              <w:autoSpaceDN/>
              <w:adjustRightInd/>
              <w:spacing w:after="0" w:line="168" w:lineRule="atLeast"/>
              <w:jc w:val="center"/>
              <w:textAlignment w:val="bottom"/>
              <w:rPr>
                <w:rFonts w:ascii="Arial" w:hAnsi="Arial" w:cs="Arial"/>
              </w:rPr>
            </w:pPr>
            <w:r>
              <w:rPr>
                <w:rFonts w:ascii="Calibri" w:hAnsi="Calibri" w:cs="Arial"/>
                <w:color w:val="000000" w:themeColor="text1"/>
                <w:kern w:val="24"/>
                <w:lang w:val="en-CA"/>
              </w:rPr>
              <w:t>[MHz]</w:t>
            </w:r>
          </w:p>
        </w:tc>
        <w:tc>
          <w:tcPr>
            <w:tcW w:w="1412" w:type="dxa"/>
            <w:hideMark/>
          </w:tcPr>
          <w:p w14:paraId="4C03D12F" w14:textId="30A65CE8" w:rsidR="00293EBB" w:rsidRPr="00293EBB" w:rsidRDefault="00293EBB" w:rsidP="00293EBB">
            <w:pPr>
              <w:overflowPunct/>
              <w:autoSpaceDE/>
              <w:autoSpaceDN/>
              <w:adjustRightInd/>
              <w:spacing w:after="0" w:line="168" w:lineRule="atLeast"/>
              <w:jc w:val="center"/>
              <w:textAlignment w:val="bottom"/>
              <w:rPr>
                <w:rFonts w:ascii="Arial" w:hAnsi="Arial" w:cs="Arial"/>
              </w:rPr>
            </w:pPr>
            <w:r>
              <w:rPr>
                <w:rFonts w:ascii="Calibri" w:hAnsi="Calibri" w:cs="Arial"/>
                <w:color w:val="000000" w:themeColor="text1"/>
                <w:kern w:val="24"/>
              </w:rPr>
              <w:t xml:space="preserve">Corresponding </w:t>
            </w:r>
            <w:r w:rsidRPr="00293EBB">
              <w:rPr>
                <w:rFonts w:ascii="Calibri" w:hAnsi="Calibri" w:cs="Arial"/>
                <w:color w:val="000000" w:themeColor="text1"/>
                <w:kern w:val="24"/>
              </w:rPr>
              <w:t>LTE band</w:t>
            </w:r>
          </w:p>
        </w:tc>
        <w:tc>
          <w:tcPr>
            <w:tcW w:w="907" w:type="dxa"/>
            <w:hideMark/>
          </w:tcPr>
          <w:p w14:paraId="497CE53F" w14:textId="50AA9455" w:rsidR="00293EBB" w:rsidRPr="00293EBB" w:rsidRDefault="00293EBB" w:rsidP="00293EBB">
            <w:pPr>
              <w:overflowPunct/>
              <w:autoSpaceDE/>
              <w:autoSpaceDN/>
              <w:adjustRightInd/>
              <w:spacing w:after="0" w:line="168" w:lineRule="atLeast"/>
              <w:jc w:val="center"/>
              <w:textAlignment w:val="bottom"/>
              <w:rPr>
                <w:rFonts w:ascii="Arial" w:hAnsi="Arial" w:cs="Arial"/>
              </w:rPr>
            </w:pPr>
            <w:r w:rsidRPr="00293EBB">
              <w:rPr>
                <w:rFonts w:ascii="Calibri" w:hAnsi="Calibri" w:cs="Arial"/>
                <w:color w:val="000000" w:themeColor="text1"/>
                <w:kern w:val="24"/>
                <w:lang w:val="en-CA"/>
              </w:rPr>
              <w:t>CH BW</w:t>
            </w:r>
            <w:r w:rsidR="006135E7">
              <w:rPr>
                <w:rFonts w:ascii="Calibri" w:hAnsi="Calibri" w:cs="Arial"/>
                <w:color w:val="000000" w:themeColor="text1"/>
                <w:kern w:val="24"/>
                <w:lang w:val="en-CA"/>
              </w:rPr>
              <w:t xml:space="preserve"> [MHz]</w:t>
            </w:r>
          </w:p>
        </w:tc>
        <w:tc>
          <w:tcPr>
            <w:tcW w:w="1001" w:type="dxa"/>
          </w:tcPr>
          <w:p w14:paraId="61331F70" w14:textId="24D544BA" w:rsidR="00293EBB" w:rsidRPr="00293EBB" w:rsidRDefault="00293EBB" w:rsidP="00293EBB">
            <w:pPr>
              <w:overflowPunct/>
              <w:autoSpaceDE/>
              <w:autoSpaceDN/>
              <w:adjustRightInd/>
              <w:spacing w:after="0" w:line="168" w:lineRule="atLeast"/>
              <w:jc w:val="center"/>
              <w:textAlignment w:val="bottom"/>
              <w:rPr>
                <w:rFonts w:ascii="Calibri" w:hAnsi="Calibri" w:cs="Arial"/>
                <w:color w:val="000000" w:themeColor="text1"/>
                <w:kern w:val="24"/>
                <w:lang w:val="en-CA"/>
              </w:rPr>
            </w:pPr>
            <w:r>
              <w:rPr>
                <w:rFonts w:ascii="Calibri" w:hAnsi="Calibri" w:cs="Arial"/>
                <w:color w:val="000000" w:themeColor="text1"/>
                <w:kern w:val="24"/>
                <w:lang w:val="en-CA"/>
              </w:rPr>
              <w:t xml:space="preserve">NR BW &gt; LTE BW </w:t>
            </w:r>
          </w:p>
        </w:tc>
      </w:tr>
      <w:tr w:rsidR="00293EBB" w:rsidRPr="00293EBB" w14:paraId="587FC83E" w14:textId="014A05D3" w:rsidTr="006135E7">
        <w:trPr>
          <w:trHeight w:val="168"/>
          <w:jc w:val="center"/>
        </w:trPr>
        <w:tc>
          <w:tcPr>
            <w:tcW w:w="756" w:type="dxa"/>
            <w:hideMark/>
          </w:tcPr>
          <w:p w14:paraId="025BD765"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n80</w:t>
            </w:r>
          </w:p>
        </w:tc>
        <w:tc>
          <w:tcPr>
            <w:tcW w:w="836" w:type="dxa"/>
            <w:hideMark/>
          </w:tcPr>
          <w:p w14:paraId="1862F97D" w14:textId="5229C344" w:rsidR="00293EBB" w:rsidRPr="00293EBB" w:rsidRDefault="00293EBB" w:rsidP="00293EBB">
            <w:pPr>
              <w:overflowPunct/>
              <w:autoSpaceDE/>
              <w:autoSpaceDN/>
              <w:adjustRightInd/>
              <w:spacing w:after="0" w:line="168" w:lineRule="atLeast"/>
              <w:jc w:val="center"/>
              <w:textAlignment w:val="center"/>
              <w:rPr>
                <w:rFonts w:ascii="Arial" w:hAnsi="Arial" w:cs="Arial"/>
              </w:rPr>
            </w:pPr>
            <w:r>
              <w:rPr>
                <w:rFonts w:ascii="Calibri" w:hAnsi="Calibri" w:cs="Arial"/>
                <w:color w:val="000000" w:themeColor="text1"/>
                <w:kern w:val="24"/>
                <w:lang w:val="en-CA"/>
              </w:rPr>
              <w:t>30</w:t>
            </w:r>
          </w:p>
        </w:tc>
        <w:tc>
          <w:tcPr>
            <w:tcW w:w="1412" w:type="dxa"/>
            <w:hideMark/>
          </w:tcPr>
          <w:p w14:paraId="2809E1F1"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3</w:t>
            </w:r>
          </w:p>
        </w:tc>
        <w:tc>
          <w:tcPr>
            <w:tcW w:w="907" w:type="dxa"/>
            <w:hideMark/>
          </w:tcPr>
          <w:p w14:paraId="1E2DA781"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001" w:type="dxa"/>
          </w:tcPr>
          <w:p w14:paraId="0FCE25FB" w14:textId="707E314B" w:rsidR="00293EBB" w:rsidRPr="00293EBB" w:rsidRDefault="00293EBB" w:rsidP="00293EBB">
            <w:pPr>
              <w:overflowPunct/>
              <w:autoSpaceDE/>
              <w:autoSpaceDN/>
              <w:adjustRightInd/>
              <w:spacing w:after="0" w:line="168" w:lineRule="atLeast"/>
              <w:jc w:val="center"/>
              <w:textAlignment w:val="center"/>
              <w:rPr>
                <w:rFonts w:ascii="Calibri" w:hAnsi="Calibri" w:cs="Arial"/>
                <w:color w:val="000000" w:themeColor="text1"/>
                <w:kern w:val="24"/>
                <w:lang w:val="en-CA"/>
              </w:rPr>
            </w:pPr>
            <w:r>
              <w:rPr>
                <w:rFonts w:ascii="Calibri" w:hAnsi="Calibri" w:cs="Arial"/>
                <w:color w:val="000000" w:themeColor="text1"/>
                <w:kern w:val="24"/>
                <w:lang w:val="en-CA"/>
              </w:rPr>
              <w:t>Yes</w:t>
            </w:r>
          </w:p>
        </w:tc>
      </w:tr>
      <w:tr w:rsidR="00293EBB" w:rsidRPr="00293EBB" w14:paraId="76DDCB71" w14:textId="7293B5BF" w:rsidTr="006135E7">
        <w:trPr>
          <w:trHeight w:val="168"/>
          <w:jc w:val="center"/>
        </w:trPr>
        <w:tc>
          <w:tcPr>
            <w:tcW w:w="756" w:type="dxa"/>
            <w:hideMark/>
          </w:tcPr>
          <w:p w14:paraId="3931DE32" w14:textId="19446909"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n81</w:t>
            </w:r>
          </w:p>
        </w:tc>
        <w:tc>
          <w:tcPr>
            <w:tcW w:w="836" w:type="dxa"/>
            <w:hideMark/>
          </w:tcPr>
          <w:p w14:paraId="4925FEAD" w14:textId="3BED54C2" w:rsidR="00293EBB" w:rsidRPr="00293EBB" w:rsidRDefault="00293EBB" w:rsidP="00293EBB">
            <w:pPr>
              <w:overflowPunct/>
              <w:autoSpaceDE/>
              <w:autoSpaceDN/>
              <w:adjustRightInd/>
              <w:spacing w:after="0" w:line="168" w:lineRule="atLeast"/>
              <w:jc w:val="center"/>
              <w:textAlignment w:val="center"/>
              <w:rPr>
                <w:rFonts w:ascii="Arial" w:hAnsi="Arial" w:cs="Arial"/>
              </w:rPr>
            </w:pPr>
            <w:r>
              <w:rPr>
                <w:rFonts w:ascii="Calibri" w:hAnsi="Calibri" w:cs="Arial"/>
                <w:color w:val="000000" w:themeColor="text1"/>
                <w:kern w:val="24"/>
                <w:lang w:val="en-CA"/>
              </w:rPr>
              <w:t>20</w:t>
            </w:r>
          </w:p>
        </w:tc>
        <w:tc>
          <w:tcPr>
            <w:tcW w:w="1412" w:type="dxa"/>
            <w:hideMark/>
          </w:tcPr>
          <w:p w14:paraId="51A81CDF"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8</w:t>
            </w:r>
          </w:p>
        </w:tc>
        <w:tc>
          <w:tcPr>
            <w:tcW w:w="907" w:type="dxa"/>
            <w:hideMark/>
          </w:tcPr>
          <w:p w14:paraId="396871AD"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10</w:t>
            </w:r>
          </w:p>
        </w:tc>
        <w:tc>
          <w:tcPr>
            <w:tcW w:w="1001" w:type="dxa"/>
          </w:tcPr>
          <w:p w14:paraId="27B04222" w14:textId="167E237F" w:rsidR="00293EBB" w:rsidRPr="00293EBB" w:rsidRDefault="00293EBB" w:rsidP="00293EBB">
            <w:pPr>
              <w:overflowPunct/>
              <w:autoSpaceDE/>
              <w:autoSpaceDN/>
              <w:adjustRightInd/>
              <w:spacing w:after="0" w:line="168" w:lineRule="atLeast"/>
              <w:jc w:val="center"/>
              <w:textAlignment w:val="center"/>
              <w:rPr>
                <w:rFonts w:ascii="Calibri" w:hAnsi="Calibri" w:cs="Arial"/>
                <w:color w:val="000000" w:themeColor="text1"/>
                <w:kern w:val="24"/>
                <w:lang w:val="en-CA"/>
              </w:rPr>
            </w:pPr>
            <w:r>
              <w:rPr>
                <w:rFonts w:ascii="Calibri" w:hAnsi="Calibri" w:cs="Arial"/>
                <w:color w:val="000000" w:themeColor="text1"/>
                <w:kern w:val="24"/>
                <w:lang w:val="en-CA"/>
              </w:rPr>
              <w:t>Yes</w:t>
            </w:r>
          </w:p>
        </w:tc>
      </w:tr>
      <w:tr w:rsidR="00293EBB" w:rsidRPr="00293EBB" w14:paraId="45E32EFA" w14:textId="2FE5D736" w:rsidTr="006135E7">
        <w:trPr>
          <w:trHeight w:val="168"/>
          <w:jc w:val="center"/>
        </w:trPr>
        <w:tc>
          <w:tcPr>
            <w:tcW w:w="756" w:type="dxa"/>
            <w:hideMark/>
          </w:tcPr>
          <w:p w14:paraId="35D2A6D6"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n82</w:t>
            </w:r>
          </w:p>
        </w:tc>
        <w:tc>
          <w:tcPr>
            <w:tcW w:w="836" w:type="dxa"/>
            <w:hideMark/>
          </w:tcPr>
          <w:p w14:paraId="6D573216"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412" w:type="dxa"/>
            <w:hideMark/>
          </w:tcPr>
          <w:p w14:paraId="452967BC"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20</w:t>
            </w:r>
          </w:p>
        </w:tc>
        <w:tc>
          <w:tcPr>
            <w:tcW w:w="907" w:type="dxa"/>
            <w:hideMark/>
          </w:tcPr>
          <w:p w14:paraId="607D66F2"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001" w:type="dxa"/>
          </w:tcPr>
          <w:p w14:paraId="1F7E09B0" w14:textId="1AD95B43" w:rsidR="00293EBB" w:rsidRPr="00293EBB" w:rsidRDefault="00293EBB" w:rsidP="00293EBB">
            <w:pPr>
              <w:overflowPunct/>
              <w:autoSpaceDE/>
              <w:autoSpaceDN/>
              <w:adjustRightInd/>
              <w:spacing w:after="0" w:line="168" w:lineRule="atLeast"/>
              <w:jc w:val="center"/>
              <w:textAlignment w:val="center"/>
              <w:rPr>
                <w:rFonts w:ascii="Calibri" w:hAnsi="Calibri" w:cs="Arial"/>
                <w:color w:val="000000" w:themeColor="text1"/>
                <w:kern w:val="24"/>
                <w:lang w:val="en-CA"/>
              </w:rPr>
            </w:pPr>
            <w:r>
              <w:rPr>
                <w:rFonts w:ascii="Calibri" w:hAnsi="Calibri" w:cs="Arial"/>
                <w:color w:val="000000" w:themeColor="text1"/>
                <w:kern w:val="24"/>
                <w:lang w:val="en-CA"/>
              </w:rPr>
              <w:t>No</w:t>
            </w:r>
          </w:p>
        </w:tc>
      </w:tr>
      <w:tr w:rsidR="00293EBB" w:rsidRPr="00293EBB" w14:paraId="4C286FA8" w14:textId="41465AF6" w:rsidTr="006135E7">
        <w:trPr>
          <w:trHeight w:val="168"/>
          <w:jc w:val="center"/>
        </w:trPr>
        <w:tc>
          <w:tcPr>
            <w:tcW w:w="756" w:type="dxa"/>
            <w:hideMark/>
          </w:tcPr>
          <w:p w14:paraId="378DF73A"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n83</w:t>
            </w:r>
          </w:p>
        </w:tc>
        <w:tc>
          <w:tcPr>
            <w:tcW w:w="836" w:type="dxa"/>
            <w:hideMark/>
          </w:tcPr>
          <w:p w14:paraId="5C522DB5"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412" w:type="dxa"/>
            <w:hideMark/>
          </w:tcPr>
          <w:p w14:paraId="57B05716"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28</w:t>
            </w:r>
          </w:p>
        </w:tc>
        <w:tc>
          <w:tcPr>
            <w:tcW w:w="907" w:type="dxa"/>
            <w:hideMark/>
          </w:tcPr>
          <w:p w14:paraId="2309DB22"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44546A" w:themeColor="text2"/>
                <w:kern w:val="24"/>
                <w:lang w:val="en-CA"/>
              </w:rPr>
              <w:t>20</w:t>
            </w:r>
          </w:p>
        </w:tc>
        <w:tc>
          <w:tcPr>
            <w:tcW w:w="1001" w:type="dxa"/>
          </w:tcPr>
          <w:p w14:paraId="431C67C8" w14:textId="7C2AAC34" w:rsidR="00293EBB" w:rsidRPr="00293EBB" w:rsidRDefault="00293EBB" w:rsidP="00293EBB">
            <w:pPr>
              <w:overflowPunct/>
              <w:autoSpaceDE/>
              <w:autoSpaceDN/>
              <w:adjustRightInd/>
              <w:spacing w:after="0" w:line="168" w:lineRule="atLeast"/>
              <w:jc w:val="center"/>
              <w:textAlignment w:val="center"/>
              <w:rPr>
                <w:rFonts w:ascii="Calibri" w:hAnsi="Calibri" w:cs="Arial"/>
                <w:color w:val="44546A" w:themeColor="text2"/>
                <w:kern w:val="24"/>
                <w:lang w:val="en-CA"/>
              </w:rPr>
            </w:pPr>
            <w:r>
              <w:rPr>
                <w:rFonts w:ascii="Calibri" w:hAnsi="Calibri" w:cs="Arial"/>
                <w:color w:val="000000" w:themeColor="text1"/>
                <w:kern w:val="24"/>
                <w:lang w:val="en-CA"/>
              </w:rPr>
              <w:t>No</w:t>
            </w:r>
          </w:p>
        </w:tc>
      </w:tr>
      <w:tr w:rsidR="00293EBB" w:rsidRPr="00293EBB" w14:paraId="30906343" w14:textId="33C64A62" w:rsidTr="006135E7">
        <w:trPr>
          <w:trHeight w:val="168"/>
          <w:jc w:val="center"/>
        </w:trPr>
        <w:tc>
          <w:tcPr>
            <w:tcW w:w="756" w:type="dxa"/>
            <w:hideMark/>
          </w:tcPr>
          <w:p w14:paraId="465064BC"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n84</w:t>
            </w:r>
          </w:p>
        </w:tc>
        <w:tc>
          <w:tcPr>
            <w:tcW w:w="836" w:type="dxa"/>
            <w:hideMark/>
          </w:tcPr>
          <w:p w14:paraId="15355EEF"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lang w:val="en-CA"/>
              </w:rPr>
              <w:t>20</w:t>
            </w:r>
          </w:p>
        </w:tc>
        <w:tc>
          <w:tcPr>
            <w:tcW w:w="1412" w:type="dxa"/>
            <w:hideMark/>
          </w:tcPr>
          <w:p w14:paraId="3B87BA1C"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1</w:t>
            </w:r>
          </w:p>
        </w:tc>
        <w:tc>
          <w:tcPr>
            <w:tcW w:w="907" w:type="dxa"/>
            <w:hideMark/>
          </w:tcPr>
          <w:p w14:paraId="60FBA25B"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44546A" w:themeColor="text2"/>
                <w:kern w:val="24"/>
                <w:lang w:val="en-CA"/>
              </w:rPr>
              <w:t>20</w:t>
            </w:r>
          </w:p>
        </w:tc>
        <w:tc>
          <w:tcPr>
            <w:tcW w:w="1001" w:type="dxa"/>
          </w:tcPr>
          <w:p w14:paraId="59206C90" w14:textId="0C1D3124" w:rsidR="00293EBB" w:rsidRPr="00293EBB" w:rsidRDefault="00293EBB" w:rsidP="00293EBB">
            <w:pPr>
              <w:overflowPunct/>
              <w:autoSpaceDE/>
              <w:autoSpaceDN/>
              <w:adjustRightInd/>
              <w:spacing w:after="0" w:line="168" w:lineRule="atLeast"/>
              <w:jc w:val="center"/>
              <w:textAlignment w:val="center"/>
              <w:rPr>
                <w:rFonts w:ascii="Calibri" w:hAnsi="Calibri" w:cs="Arial"/>
                <w:color w:val="44546A" w:themeColor="text2"/>
                <w:kern w:val="24"/>
                <w:lang w:val="en-CA"/>
              </w:rPr>
            </w:pPr>
            <w:r>
              <w:rPr>
                <w:rFonts w:ascii="Calibri" w:hAnsi="Calibri" w:cs="Arial"/>
                <w:color w:val="000000" w:themeColor="text1"/>
                <w:kern w:val="24"/>
                <w:lang w:val="en-CA"/>
              </w:rPr>
              <w:t>No</w:t>
            </w:r>
          </w:p>
        </w:tc>
      </w:tr>
      <w:tr w:rsidR="00293EBB" w:rsidRPr="00293EBB" w14:paraId="730D4F5D" w14:textId="4BF1BDC8" w:rsidTr="006135E7">
        <w:trPr>
          <w:trHeight w:val="168"/>
          <w:jc w:val="center"/>
        </w:trPr>
        <w:tc>
          <w:tcPr>
            <w:tcW w:w="756" w:type="dxa"/>
            <w:hideMark/>
          </w:tcPr>
          <w:p w14:paraId="2E3CD1E4"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n86</w:t>
            </w:r>
          </w:p>
        </w:tc>
        <w:tc>
          <w:tcPr>
            <w:tcW w:w="836" w:type="dxa"/>
            <w:hideMark/>
          </w:tcPr>
          <w:p w14:paraId="6E4CD56B" w14:textId="4B24B564" w:rsidR="00293EBB" w:rsidRPr="00293EBB" w:rsidRDefault="00293EBB" w:rsidP="00293EBB">
            <w:pPr>
              <w:overflowPunct/>
              <w:autoSpaceDE/>
              <w:autoSpaceDN/>
              <w:adjustRightInd/>
              <w:spacing w:after="0" w:line="168" w:lineRule="atLeast"/>
              <w:jc w:val="center"/>
              <w:textAlignment w:val="center"/>
              <w:rPr>
                <w:rFonts w:ascii="Arial" w:hAnsi="Arial" w:cs="Arial"/>
              </w:rPr>
            </w:pPr>
            <w:r>
              <w:rPr>
                <w:rFonts w:ascii="Calibri" w:hAnsi="Calibri" w:cs="Arial"/>
                <w:color w:val="000000" w:themeColor="text1"/>
                <w:kern w:val="24"/>
                <w:lang w:val="en-CA"/>
              </w:rPr>
              <w:t>40</w:t>
            </w:r>
          </w:p>
        </w:tc>
        <w:tc>
          <w:tcPr>
            <w:tcW w:w="1412" w:type="dxa"/>
            <w:hideMark/>
          </w:tcPr>
          <w:p w14:paraId="14A44F8D"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000000" w:themeColor="text1"/>
                <w:kern w:val="24"/>
              </w:rPr>
              <w:t>66</w:t>
            </w:r>
          </w:p>
        </w:tc>
        <w:tc>
          <w:tcPr>
            <w:tcW w:w="907" w:type="dxa"/>
            <w:hideMark/>
          </w:tcPr>
          <w:p w14:paraId="7E8C9A6D" w14:textId="77777777" w:rsidR="00293EBB" w:rsidRPr="00293EBB" w:rsidRDefault="00293EBB" w:rsidP="00293EBB">
            <w:pPr>
              <w:overflowPunct/>
              <w:autoSpaceDE/>
              <w:autoSpaceDN/>
              <w:adjustRightInd/>
              <w:spacing w:after="0" w:line="168" w:lineRule="atLeast"/>
              <w:jc w:val="center"/>
              <w:textAlignment w:val="center"/>
              <w:rPr>
                <w:rFonts w:ascii="Arial" w:hAnsi="Arial" w:cs="Arial"/>
              </w:rPr>
            </w:pPr>
            <w:r w:rsidRPr="00293EBB">
              <w:rPr>
                <w:rFonts w:ascii="Calibri" w:hAnsi="Calibri" w:cs="Arial"/>
                <w:color w:val="44546A" w:themeColor="text2"/>
                <w:kern w:val="24"/>
                <w:lang w:val="en-CA"/>
              </w:rPr>
              <w:t>20</w:t>
            </w:r>
          </w:p>
        </w:tc>
        <w:tc>
          <w:tcPr>
            <w:tcW w:w="1001" w:type="dxa"/>
          </w:tcPr>
          <w:p w14:paraId="140A89F6" w14:textId="00248B1E" w:rsidR="00293EBB" w:rsidRPr="00293EBB" w:rsidRDefault="00293EBB" w:rsidP="00293EBB">
            <w:pPr>
              <w:overflowPunct/>
              <w:autoSpaceDE/>
              <w:autoSpaceDN/>
              <w:adjustRightInd/>
              <w:spacing w:after="0" w:line="168" w:lineRule="atLeast"/>
              <w:jc w:val="center"/>
              <w:textAlignment w:val="center"/>
              <w:rPr>
                <w:rFonts w:ascii="Calibri" w:hAnsi="Calibri" w:cs="Arial"/>
                <w:color w:val="44546A" w:themeColor="text2"/>
                <w:kern w:val="24"/>
                <w:lang w:val="en-CA"/>
              </w:rPr>
            </w:pPr>
            <w:r>
              <w:rPr>
                <w:rFonts w:ascii="Calibri" w:hAnsi="Calibri" w:cs="Arial"/>
                <w:color w:val="000000" w:themeColor="text1"/>
                <w:kern w:val="24"/>
                <w:lang w:val="en-CA"/>
              </w:rPr>
              <w:t>Yes</w:t>
            </w:r>
          </w:p>
        </w:tc>
      </w:tr>
    </w:tbl>
    <w:p w14:paraId="15A1CEC6" w14:textId="77777777" w:rsidR="00247436" w:rsidRDefault="00247436" w:rsidP="00247436">
      <w:pPr>
        <w:jc w:val="both"/>
        <w:rPr>
          <w:lang w:eastAsia="ja-JP"/>
        </w:rPr>
      </w:pPr>
    </w:p>
    <w:p w14:paraId="40E85A5D" w14:textId="77777777" w:rsidR="00247436" w:rsidRDefault="00247436" w:rsidP="00247436">
      <w:pPr>
        <w:jc w:val="both"/>
        <w:rPr>
          <w:lang w:eastAsia="ja-JP"/>
        </w:rPr>
      </w:pPr>
      <w:r>
        <w:rPr>
          <w:lang w:eastAsia="ja-JP"/>
        </w:rPr>
        <w:t>It is unclear if the NR SUL UL allocations are contained within the LTE UL BW of the associated ULSUP TDM combination when the NR channel bandwidth is larger.</w:t>
      </w:r>
    </w:p>
    <w:p w14:paraId="3769D3A8" w14:textId="475F6F9D" w:rsidR="00247436" w:rsidRPr="00247436" w:rsidRDefault="00247436" w:rsidP="00247436">
      <w:pPr>
        <w:spacing w:after="0"/>
        <w:jc w:val="both"/>
        <w:rPr>
          <w:lang w:eastAsia="ja-JP"/>
        </w:rPr>
      </w:pPr>
      <w:r>
        <w:rPr>
          <w:lang w:eastAsia="ja-JP"/>
        </w:rPr>
        <w:t>For example</w:t>
      </w:r>
      <w:r w:rsidR="003A3E73">
        <w:rPr>
          <w:lang w:eastAsia="ja-JP"/>
        </w:rPr>
        <w:t>,</w:t>
      </w:r>
      <w:r>
        <w:rPr>
          <w:lang w:eastAsia="ja-JP"/>
        </w:rPr>
        <w:t xml:space="preserve"> for </w:t>
      </w:r>
      <w:r w:rsidRPr="00247436">
        <w:rPr>
          <w:bCs/>
          <w:lang w:val="en-GB" w:eastAsia="ja-JP"/>
        </w:rPr>
        <w:t>DC_3A_n80A_ULSUP-TDM_n78/79A:</w:t>
      </w:r>
    </w:p>
    <w:p w14:paraId="6BC848A8" w14:textId="5BE17305" w:rsidR="00247436" w:rsidRPr="00247436" w:rsidRDefault="00247436" w:rsidP="00247436">
      <w:pPr>
        <w:pStyle w:val="ListParagraph"/>
        <w:numPr>
          <w:ilvl w:val="0"/>
          <w:numId w:val="15"/>
        </w:numPr>
        <w:jc w:val="both"/>
        <w:rPr>
          <w:lang w:eastAsia="ja-JP"/>
        </w:rPr>
      </w:pPr>
      <w:r>
        <w:rPr>
          <w:bCs/>
          <w:lang w:val="en-GB" w:eastAsia="ja-JP"/>
        </w:rPr>
        <w:t>I</w:t>
      </w:r>
      <w:r w:rsidRPr="00247436">
        <w:rPr>
          <w:bCs/>
          <w:lang w:val="en-GB" w:eastAsia="ja-JP"/>
        </w:rPr>
        <w:t>s the UL allocation for the</w:t>
      </w:r>
      <w:r>
        <w:rPr>
          <w:bCs/>
          <w:lang w:val="en-GB" w:eastAsia="ja-JP"/>
        </w:rPr>
        <w:t xml:space="preserve"> n80</w:t>
      </w:r>
      <w:r w:rsidRPr="00247436">
        <w:rPr>
          <w:bCs/>
          <w:lang w:val="en-GB" w:eastAsia="ja-JP"/>
        </w:rPr>
        <w:t xml:space="preserve"> SUL band contained within the corresponding </w:t>
      </w:r>
      <w:r>
        <w:rPr>
          <w:bCs/>
          <w:lang w:val="en-GB" w:eastAsia="ja-JP"/>
        </w:rPr>
        <w:t xml:space="preserve">LTE </w:t>
      </w:r>
      <w:r w:rsidRPr="00247436">
        <w:rPr>
          <w:bCs/>
          <w:lang w:val="en-GB" w:eastAsia="ja-JP"/>
        </w:rPr>
        <w:t xml:space="preserve">20 MHz UL channel of band </w:t>
      </w:r>
      <w:r w:rsidR="00B81AF1">
        <w:rPr>
          <w:bCs/>
          <w:lang w:val="en-GB" w:eastAsia="ja-JP"/>
        </w:rPr>
        <w:t>3</w:t>
      </w:r>
      <w:r w:rsidRPr="00247436">
        <w:rPr>
          <w:bCs/>
          <w:lang w:val="en-GB" w:eastAsia="ja-JP"/>
        </w:rPr>
        <w:t xml:space="preserve"> and thus paired with the band </w:t>
      </w:r>
      <w:r w:rsidR="00B81AF1">
        <w:rPr>
          <w:bCs/>
          <w:lang w:val="en-GB" w:eastAsia="ja-JP"/>
        </w:rPr>
        <w:t>3 DL channel?</w:t>
      </w:r>
    </w:p>
    <w:p w14:paraId="2CDF8298" w14:textId="666ECAEB" w:rsidR="00247436" w:rsidRPr="00DA2104" w:rsidRDefault="00247436" w:rsidP="00247436">
      <w:pPr>
        <w:pStyle w:val="ListParagraph"/>
        <w:numPr>
          <w:ilvl w:val="0"/>
          <w:numId w:val="15"/>
        </w:numPr>
        <w:jc w:val="both"/>
        <w:rPr>
          <w:lang w:eastAsia="ja-JP"/>
        </w:rPr>
      </w:pPr>
      <w:r>
        <w:rPr>
          <w:bCs/>
          <w:lang w:val="en-GB" w:eastAsia="ja-JP"/>
        </w:rPr>
        <w:t>O</w:t>
      </w:r>
      <w:r w:rsidRPr="00247436">
        <w:rPr>
          <w:bCs/>
          <w:lang w:val="en-GB" w:eastAsia="ja-JP"/>
        </w:rPr>
        <w:t xml:space="preserve">r </w:t>
      </w:r>
      <w:r>
        <w:rPr>
          <w:bCs/>
          <w:lang w:val="en-GB" w:eastAsia="ja-JP"/>
        </w:rPr>
        <w:t xml:space="preserve">anywhere </w:t>
      </w:r>
      <w:r w:rsidR="00B81AF1">
        <w:rPr>
          <w:bCs/>
          <w:lang w:val="en-GB" w:eastAsia="ja-JP"/>
        </w:rPr>
        <w:t>within 30 MHz of band n80 and thus potentially at the top of the UL band while the LTE DL channel is at the bottom of band and suffer de-sense from the spectral regrowth and noise of SUL UL?</w:t>
      </w:r>
    </w:p>
    <w:p w14:paraId="3DA29C7B" w14:textId="5843C9EF" w:rsidR="004C3A56" w:rsidRDefault="00B81AF1" w:rsidP="004C3A56">
      <w:pPr>
        <w:spacing w:after="0"/>
        <w:rPr>
          <w:rFonts w:eastAsia="SimSun"/>
          <w:lang w:eastAsia="zh-CN"/>
        </w:rPr>
      </w:pPr>
      <w:r>
        <w:rPr>
          <w:rFonts w:eastAsia="SimSun"/>
          <w:lang w:eastAsia="zh-CN"/>
        </w:rPr>
        <w:t>If the first assertion is valid and since all channel configurations are supported for DC, there is no point in defining larger channel bandwidth for the SUL band compared to the LTE band.</w:t>
      </w:r>
    </w:p>
    <w:p w14:paraId="4A90569C" w14:textId="77777777" w:rsidR="00B81AF1" w:rsidRDefault="00B81AF1" w:rsidP="004C3A56">
      <w:pPr>
        <w:spacing w:after="0"/>
        <w:rPr>
          <w:rFonts w:eastAsia="SimSun"/>
          <w:lang w:eastAsia="zh-CN"/>
        </w:rPr>
      </w:pPr>
    </w:p>
    <w:p w14:paraId="1FA54983" w14:textId="79FB23AE" w:rsidR="00B81AF1" w:rsidRDefault="00B81AF1" w:rsidP="004C3A56">
      <w:pPr>
        <w:spacing w:after="0"/>
        <w:rPr>
          <w:rFonts w:eastAsia="SimSun"/>
          <w:lang w:eastAsia="zh-CN"/>
        </w:rPr>
      </w:pPr>
      <w:r>
        <w:rPr>
          <w:rFonts w:eastAsia="SimSun"/>
          <w:lang w:eastAsia="zh-CN"/>
        </w:rPr>
        <w:t>If the second assertion is right, then there should be some further restrictions on the UL configuration of the SUL band or potential MSD issues assessed.</w:t>
      </w:r>
      <w:r w:rsidR="0036035E">
        <w:rPr>
          <w:rFonts w:eastAsia="SimSun"/>
          <w:lang w:eastAsia="zh-CN"/>
        </w:rPr>
        <w:t xml:space="preserve"> Note that the issue is </w:t>
      </w:r>
      <w:r w:rsidR="003A3E73">
        <w:rPr>
          <w:rFonts w:eastAsia="SimSun"/>
          <w:lang w:eastAsia="zh-CN"/>
        </w:rPr>
        <w:t>present</w:t>
      </w:r>
      <w:r w:rsidR="0036035E">
        <w:rPr>
          <w:rFonts w:eastAsia="SimSun"/>
          <w:lang w:eastAsia="zh-CN"/>
        </w:rPr>
        <w:t xml:space="preserve"> whether the SUL channel bandwidth is</w:t>
      </w:r>
      <w:r w:rsidR="003A3E73">
        <w:rPr>
          <w:rFonts w:eastAsia="SimSun"/>
          <w:lang w:eastAsia="zh-CN"/>
        </w:rPr>
        <w:t xml:space="preserve"> the</w:t>
      </w:r>
      <w:r w:rsidR="0036035E">
        <w:rPr>
          <w:rFonts w:eastAsia="SimSun"/>
          <w:lang w:eastAsia="zh-CN"/>
        </w:rPr>
        <w:t xml:space="preserve"> same or higher than </w:t>
      </w:r>
      <w:r w:rsidR="003A3E73">
        <w:rPr>
          <w:rFonts w:eastAsia="SimSun"/>
          <w:lang w:eastAsia="zh-CN"/>
        </w:rPr>
        <w:t xml:space="preserve">for </w:t>
      </w:r>
      <w:r w:rsidR="0036035E">
        <w:rPr>
          <w:rFonts w:eastAsia="SimSun"/>
          <w:lang w:eastAsia="zh-CN"/>
        </w:rPr>
        <w:t>the corresponding LTE band.</w:t>
      </w:r>
    </w:p>
    <w:p w14:paraId="7BDD1796" w14:textId="77777777" w:rsidR="0036035E" w:rsidRDefault="0036035E" w:rsidP="004C3A56">
      <w:pPr>
        <w:spacing w:after="0"/>
        <w:rPr>
          <w:rFonts w:eastAsia="SimSun"/>
          <w:lang w:eastAsia="zh-CN"/>
        </w:rPr>
      </w:pPr>
    </w:p>
    <w:p w14:paraId="52B0A621" w14:textId="7714FDB9" w:rsidR="004C3A56" w:rsidRPr="004C3A56" w:rsidRDefault="00E83876" w:rsidP="004C3A56">
      <w:pPr>
        <w:spacing w:after="0"/>
        <w:rPr>
          <w:rFonts w:eastAsia="SimSun"/>
          <w:b/>
          <w:lang w:eastAsia="zh-CN"/>
        </w:rPr>
      </w:pPr>
      <w:r w:rsidRPr="004C3A56">
        <w:rPr>
          <w:rFonts w:eastAsia="SimSun"/>
          <w:b/>
          <w:lang w:eastAsia="zh-CN"/>
        </w:rPr>
        <w:t>Observation</w:t>
      </w:r>
      <w:r w:rsidR="0036035E">
        <w:rPr>
          <w:rFonts w:eastAsia="SimSun"/>
          <w:b/>
          <w:lang w:eastAsia="zh-CN"/>
        </w:rPr>
        <w:t>:</w:t>
      </w:r>
    </w:p>
    <w:p w14:paraId="55658E7D" w14:textId="77777777" w:rsidR="0036035E" w:rsidRDefault="0036035E" w:rsidP="0036035E">
      <w:pPr>
        <w:pStyle w:val="ListParagraph"/>
        <w:numPr>
          <w:ilvl w:val="0"/>
          <w:numId w:val="12"/>
        </w:numPr>
        <w:rPr>
          <w:b/>
          <w:lang w:eastAsia="zh-CN"/>
        </w:rPr>
      </w:pPr>
      <w:r>
        <w:rPr>
          <w:b/>
          <w:lang w:eastAsia="zh-CN"/>
        </w:rPr>
        <w:lastRenderedPageBreak/>
        <w:t>SUL UL configuration is unclear for ULSUP TDM combination using the corresponding LTE band</w:t>
      </w:r>
    </w:p>
    <w:p w14:paraId="22A994A3" w14:textId="2948C6BF" w:rsidR="0036035E" w:rsidRPr="0036035E" w:rsidRDefault="0036035E" w:rsidP="0036035E">
      <w:pPr>
        <w:pStyle w:val="ListParagraph"/>
        <w:numPr>
          <w:ilvl w:val="0"/>
          <w:numId w:val="12"/>
        </w:numPr>
        <w:rPr>
          <w:b/>
          <w:lang w:eastAsia="zh-CN"/>
        </w:rPr>
      </w:pPr>
      <w:r w:rsidRPr="0036035E">
        <w:rPr>
          <w:b/>
          <w:lang w:eastAsia="zh-CN"/>
        </w:rPr>
        <w:t xml:space="preserve">Depending </w:t>
      </w:r>
      <w:r w:rsidR="003A3E73">
        <w:rPr>
          <w:b/>
          <w:lang w:eastAsia="zh-CN"/>
        </w:rPr>
        <w:t>on</w:t>
      </w:r>
      <w:r w:rsidRPr="0036035E">
        <w:rPr>
          <w:b/>
          <w:lang w:eastAsia="zh-CN"/>
        </w:rPr>
        <w:t xml:space="preserve"> the understanding of the SUL transmission behavior</w:t>
      </w:r>
      <w:r w:rsidR="003A3E73">
        <w:rPr>
          <w:b/>
          <w:lang w:eastAsia="zh-CN"/>
        </w:rPr>
        <w:t>,</w:t>
      </w:r>
      <w:r w:rsidRPr="0036035E">
        <w:rPr>
          <w:b/>
          <w:lang w:eastAsia="zh-CN"/>
        </w:rPr>
        <w:t xml:space="preserve"> </w:t>
      </w:r>
      <w:r>
        <w:rPr>
          <w:b/>
          <w:lang w:eastAsia="zh-CN"/>
        </w:rPr>
        <w:t>some further clarification on channel and UL configuration may be needed or potential MSD studied.</w:t>
      </w:r>
    </w:p>
    <w:p w14:paraId="70683F89" w14:textId="77777777" w:rsidR="00F67575" w:rsidRDefault="00F67575" w:rsidP="00F67575">
      <w:pPr>
        <w:pStyle w:val="Heading1"/>
      </w:pPr>
      <w:r>
        <w:t>Conclusions</w:t>
      </w:r>
    </w:p>
    <w:p w14:paraId="6A5A5B16" w14:textId="18500FAB" w:rsidR="00F67575" w:rsidRDefault="00F67575" w:rsidP="00F67575">
      <w:pPr>
        <w:spacing w:after="0"/>
        <w:jc w:val="both"/>
      </w:pPr>
      <w:r>
        <w:t xml:space="preserve">In this contribution, we discuss </w:t>
      </w:r>
      <w:r w:rsidR="0036035E">
        <w:t>our understanding of the potential SUL UL behavior in ULSUP TDM</w:t>
      </w:r>
      <w:r w:rsidR="009243FF">
        <w:t xml:space="preserve"> combination that uses the corresponding LTE band and made the following observation</w:t>
      </w:r>
      <w:r w:rsidR="005145D9">
        <w:t>.</w:t>
      </w:r>
    </w:p>
    <w:p w14:paraId="27653F9F" w14:textId="77777777" w:rsidR="00F67575" w:rsidRDefault="00F67575" w:rsidP="00F67575">
      <w:pPr>
        <w:spacing w:after="0"/>
        <w:jc w:val="both"/>
      </w:pPr>
    </w:p>
    <w:p w14:paraId="372EEA4E" w14:textId="77777777" w:rsidR="009243FF" w:rsidRPr="004C3A56" w:rsidRDefault="009243FF" w:rsidP="009243FF">
      <w:pPr>
        <w:spacing w:after="0"/>
        <w:rPr>
          <w:rFonts w:eastAsia="SimSun"/>
          <w:b/>
          <w:lang w:eastAsia="zh-CN"/>
        </w:rPr>
      </w:pPr>
      <w:r w:rsidRPr="004C3A56">
        <w:rPr>
          <w:rFonts w:eastAsia="SimSun"/>
          <w:b/>
          <w:lang w:eastAsia="zh-CN"/>
        </w:rPr>
        <w:t>Observation</w:t>
      </w:r>
      <w:r>
        <w:rPr>
          <w:rFonts w:eastAsia="SimSun"/>
          <w:b/>
          <w:lang w:eastAsia="zh-CN"/>
        </w:rPr>
        <w:t>:</w:t>
      </w:r>
    </w:p>
    <w:p w14:paraId="1DDF7B3E" w14:textId="77777777" w:rsidR="009243FF" w:rsidRDefault="009243FF" w:rsidP="009243FF">
      <w:pPr>
        <w:pStyle w:val="ListParagraph"/>
        <w:numPr>
          <w:ilvl w:val="0"/>
          <w:numId w:val="12"/>
        </w:numPr>
        <w:rPr>
          <w:b/>
          <w:lang w:eastAsia="zh-CN"/>
        </w:rPr>
      </w:pPr>
      <w:r>
        <w:rPr>
          <w:b/>
          <w:lang w:eastAsia="zh-CN"/>
        </w:rPr>
        <w:t>SUL UL configuration is unclear for ULSUP TDM combination using the corresponding LTE band</w:t>
      </w:r>
    </w:p>
    <w:p w14:paraId="2187C940" w14:textId="67FD5F95" w:rsidR="009243FF" w:rsidRPr="0036035E" w:rsidRDefault="009243FF" w:rsidP="009243FF">
      <w:pPr>
        <w:pStyle w:val="ListParagraph"/>
        <w:numPr>
          <w:ilvl w:val="0"/>
          <w:numId w:val="12"/>
        </w:numPr>
        <w:rPr>
          <w:b/>
          <w:lang w:eastAsia="zh-CN"/>
        </w:rPr>
      </w:pPr>
      <w:r w:rsidRPr="0036035E">
        <w:rPr>
          <w:b/>
          <w:lang w:eastAsia="zh-CN"/>
        </w:rPr>
        <w:t xml:space="preserve">Depending </w:t>
      </w:r>
      <w:r w:rsidR="003A3E73">
        <w:rPr>
          <w:b/>
          <w:lang w:eastAsia="zh-CN"/>
        </w:rPr>
        <w:t>on</w:t>
      </w:r>
      <w:r w:rsidRPr="0036035E">
        <w:rPr>
          <w:b/>
          <w:lang w:eastAsia="zh-CN"/>
        </w:rPr>
        <w:t xml:space="preserve"> the understanding of the SUL transmission behavior</w:t>
      </w:r>
      <w:r w:rsidR="003A3E73">
        <w:rPr>
          <w:b/>
          <w:lang w:eastAsia="zh-CN"/>
        </w:rPr>
        <w:t>,</w:t>
      </w:r>
      <w:r w:rsidRPr="0036035E">
        <w:rPr>
          <w:b/>
          <w:lang w:eastAsia="zh-CN"/>
        </w:rPr>
        <w:t xml:space="preserve"> </w:t>
      </w:r>
      <w:r>
        <w:rPr>
          <w:b/>
          <w:lang w:eastAsia="zh-CN"/>
        </w:rPr>
        <w:t>some further clarification on channel and UL configu</w:t>
      </w:r>
      <w:bookmarkStart w:id="2" w:name="_GoBack"/>
      <w:bookmarkEnd w:id="2"/>
      <w:r>
        <w:rPr>
          <w:b/>
          <w:lang w:eastAsia="zh-CN"/>
        </w:rPr>
        <w:t>ration may be needed or potential MSD studied.</w:t>
      </w:r>
    </w:p>
    <w:p w14:paraId="03D6921F" w14:textId="77777777" w:rsidR="00F10F97" w:rsidRDefault="007321E3" w:rsidP="00C8525F">
      <w:pPr>
        <w:pStyle w:val="Heading1"/>
        <w:numPr>
          <w:ilvl w:val="0"/>
          <w:numId w:val="0"/>
        </w:numPr>
        <w:jc w:val="both"/>
      </w:pPr>
      <w:r>
        <w:t>R</w:t>
      </w:r>
      <w:r w:rsidR="00F10F97">
        <w:t>eferences</w:t>
      </w:r>
    </w:p>
    <w:p w14:paraId="43E57FF7" w14:textId="4F4F7C7C" w:rsidR="000E784E" w:rsidRDefault="008063BB" w:rsidP="000E784E">
      <w:r>
        <w:t>[</w:t>
      </w:r>
      <w:r w:rsidR="000E784E">
        <w:t>1</w:t>
      </w:r>
      <w:r>
        <w:t xml:space="preserve">] </w:t>
      </w:r>
      <w:r w:rsidR="00777F79" w:rsidRPr="00777F79">
        <w:t>R4-1915319</w:t>
      </w:r>
      <w:r w:rsidR="00F67575">
        <w:t xml:space="preserve">, </w:t>
      </w:r>
      <w:r w:rsidR="00777F79" w:rsidRPr="000E784E">
        <w:rPr>
          <w:rFonts w:cs="Arial"/>
          <w:sz w:val="22"/>
        </w:rPr>
        <w:t xml:space="preserve">MSD and MPR for ULSUP FDM </w:t>
      </w:r>
      <w:r w:rsidR="00777F79">
        <w:rPr>
          <w:rFonts w:cs="Arial"/>
          <w:sz w:val="22"/>
        </w:rPr>
        <w:t>C</w:t>
      </w:r>
      <w:r w:rsidR="00777F79" w:rsidRPr="000E784E">
        <w:rPr>
          <w:rFonts w:cs="Arial"/>
          <w:sz w:val="22"/>
        </w:rPr>
        <w:t>ombinations</w:t>
      </w:r>
      <w:r>
        <w:t>, Skyworks Solutions Inc., RAN4#9</w:t>
      </w:r>
      <w:r w:rsidR="00777F79">
        <w:t>3</w:t>
      </w:r>
    </w:p>
    <w:sectPr w:rsidR="000E784E" w:rsidSect="00A413BA">
      <w:footerReference w:type="default" r:id="rId9"/>
      <w:footnotePr>
        <w:numRestart w:val="eachSect"/>
      </w:footnotePr>
      <w:pgSz w:w="11907" w:h="16840" w:code="9"/>
      <w:pgMar w:top="1440" w:right="1080" w:bottom="1440" w:left="108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B96C2B" w14:textId="77777777" w:rsidR="00B6099A" w:rsidRDefault="00B6099A">
      <w:r>
        <w:separator/>
      </w:r>
    </w:p>
  </w:endnote>
  <w:endnote w:type="continuationSeparator" w:id="0">
    <w:p w14:paraId="5C7FE9FD" w14:textId="77777777" w:rsidR="00B6099A" w:rsidRDefault="00B6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E784E" w:rsidRDefault="000E784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67C61" w14:textId="77777777" w:rsidR="00B6099A" w:rsidRDefault="00B6099A">
      <w:r>
        <w:separator/>
      </w:r>
    </w:p>
  </w:footnote>
  <w:footnote w:type="continuationSeparator" w:id="0">
    <w:p w14:paraId="60A373A8" w14:textId="77777777" w:rsidR="00B6099A" w:rsidRDefault="00B60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87BBE"/>
    <w:multiLevelType w:val="hybridMultilevel"/>
    <w:tmpl w:val="0A7A6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68A649A"/>
    <w:multiLevelType w:val="hybridMultilevel"/>
    <w:tmpl w:val="7FA07BF4"/>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8DB0D06"/>
    <w:multiLevelType w:val="hybridMultilevel"/>
    <w:tmpl w:val="8B1AD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0A6B65"/>
    <w:multiLevelType w:val="hybridMultilevel"/>
    <w:tmpl w:val="8B860FB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6">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2353FF8"/>
    <w:multiLevelType w:val="hybridMultilevel"/>
    <w:tmpl w:val="C03E96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56913452"/>
    <w:multiLevelType w:val="hybridMultilevel"/>
    <w:tmpl w:val="B3904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F14C4D"/>
    <w:multiLevelType w:val="hybridMultilevel"/>
    <w:tmpl w:val="EC7C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9"/>
  </w:num>
  <w:num w:numId="4">
    <w:abstractNumId w:val="14"/>
  </w:num>
  <w:num w:numId="5">
    <w:abstractNumId w:val="6"/>
  </w:num>
  <w:num w:numId="6">
    <w:abstractNumId w:val="1"/>
  </w:num>
  <w:num w:numId="7">
    <w:abstractNumId w:val="10"/>
  </w:num>
  <w:num w:numId="8">
    <w:abstractNumId w:val="13"/>
  </w:num>
  <w:num w:numId="9">
    <w:abstractNumId w:val="0"/>
  </w:num>
  <w:num w:numId="10">
    <w:abstractNumId w:val="12"/>
  </w:num>
  <w:num w:numId="11">
    <w:abstractNumId w:val="4"/>
  </w:num>
  <w:num w:numId="12">
    <w:abstractNumId w:val="11"/>
  </w:num>
  <w:num w:numId="13">
    <w:abstractNumId w:val="8"/>
  </w:num>
  <w:num w:numId="14">
    <w:abstractNumId w:val="2"/>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E36"/>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CEA"/>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84E"/>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9BF"/>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089"/>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F91"/>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4F33"/>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1E6"/>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47436"/>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7CF"/>
    <w:rsid w:val="00286207"/>
    <w:rsid w:val="002863D5"/>
    <w:rsid w:val="00286658"/>
    <w:rsid w:val="0028694F"/>
    <w:rsid w:val="00286E36"/>
    <w:rsid w:val="002901F4"/>
    <w:rsid w:val="002913B8"/>
    <w:rsid w:val="002915B7"/>
    <w:rsid w:val="00291E51"/>
    <w:rsid w:val="002923DB"/>
    <w:rsid w:val="002928F7"/>
    <w:rsid w:val="00292D6B"/>
    <w:rsid w:val="00293EB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3CF8"/>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6EA0"/>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35E"/>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3E7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764"/>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4C"/>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61"/>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56"/>
    <w:rsid w:val="004C3AD6"/>
    <w:rsid w:val="004C456D"/>
    <w:rsid w:val="004C4F73"/>
    <w:rsid w:val="004C53D8"/>
    <w:rsid w:val="004C54D6"/>
    <w:rsid w:val="004C5872"/>
    <w:rsid w:val="004C5F96"/>
    <w:rsid w:val="004C66F1"/>
    <w:rsid w:val="004C724F"/>
    <w:rsid w:val="004C7412"/>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2E71"/>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5D9"/>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5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3E69"/>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99E"/>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FBC"/>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0DAF"/>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79"/>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0FF"/>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58CA"/>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3FF"/>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9A0"/>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160"/>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C3B"/>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3D0"/>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775"/>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D62"/>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BA"/>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AA9"/>
    <w:rsid w:val="00AA5C4A"/>
    <w:rsid w:val="00AA5DC7"/>
    <w:rsid w:val="00AA6288"/>
    <w:rsid w:val="00AA62E6"/>
    <w:rsid w:val="00AA674B"/>
    <w:rsid w:val="00AA6840"/>
    <w:rsid w:val="00AA75D5"/>
    <w:rsid w:val="00AA78D5"/>
    <w:rsid w:val="00AA7C5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99A"/>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1AF1"/>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27F"/>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3E9"/>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84D"/>
    <w:rsid w:val="00CB0E08"/>
    <w:rsid w:val="00CB0EC8"/>
    <w:rsid w:val="00CB1080"/>
    <w:rsid w:val="00CB22D3"/>
    <w:rsid w:val="00CB2685"/>
    <w:rsid w:val="00CB395D"/>
    <w:rsid w:val="00CB3C15"/>
    <w:rsid w:val="00CB3DA6"/>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37C63"/>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104"/>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5A30"/>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76"/>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1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48C"/>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575"/>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B2Char">
    <w:name w:val="B2 Char"/>
    <w:link w:val="B2"/>
    <w:locked/>
    <w:rsid w:val="00A167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B2Char">
    <w:name w:val="B2 Char"/>
    <w:link w:val="B2"/>
    <w:locked/>
    <w:rsid w:val="00A16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007316">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9499676">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5528470">
      <w:bodyDiv w:val="1"/>
      <w:marLeft w:val="0"/>
      <w:marRight w:val="0"/>
      <w:marTop w:val="0"/>
      <w:marBottom w:val="0"/>
      <w:divBdr>
        <w:top w:val="none" w:sz="0" w:space="0" w:color="auto"/>
        <w:left w:val="none" w:sz="0" w:space="0" w:color="auto"/>
        <w:bottom w:val="none" w:sz="0" w:space="0" w:color="auto"/>
        <w:right w:val="none" w:sz="0" w:space="0" w:color="auto"/>
      </w:divBdr>
      <w:divsChild>
        <w:div w:id="83500070">
          <w:marLeft w:val="461"/>
          <w:marRight w:val="0"/>
          <w:marTop w:val="120"/>
          <w:marBottom w:val="0"/>
          <w:divBdr>
            <w:top w:val="none" w:sz="0" w:space="0" w:color="auto"/>
            <w:left w:val="none" w:sz="0" w:space="0" w:color="auto"/>
            <w:bottom w:val="none" w:sz="0" w:space="0" w:color="auto"/>
            <w:right w:val="none" w:sz="0" w:space="0" w:color="auto"/>
          </w:divBdr>
        </w:div>
        <w:div w:id="1795323284">
          <w:marLeft w:val="461"/>
          <w:marRight w:val="0"/>
          <w:marTop w:val="120"/>
          <w:marBottom w:val="0"/>
          <w:divBdr>
            <w:top w:val="none" w:sz="0" w:space="0" w:color="auto"/>
            <w:left w:val="none" w:sz="0" w:space="0" w:color="auto"/>
            <w:bottom w:val="none" w:sz="0" w:space="0" w:color="auto"/>
            <w:right w:val="none" w:sz="0" w:space="0" w:color="auto"/>
          </w:divBdr>
        </w:div>
      </w:divsChild>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5208308">
      <w:bodyDiv w:val="1"/>
      <w:marLeft w:val="0"/>
      <w:marRight w:val="0"/>
      <w:marTop w:val="0"/>
      <w:marBottom w:val="0"/>
      <w:divBdr>
        <w:top w:val="none" w:sz="0" w:space="0" w:color="auto"/>
        <w:left w:val="none" w:sz="0" w:space="0" w:color="auto"/>
        <w:bottom w:val="none" w:sz="0" w:space="0" w:color="auto"/>
        <w:right w:val="none" w:sz="0" w:space="0" w:color="auto"/>
      </w:divBdr>
      <w:divsChild>
        <w:div w:id="1962103122">
          <w:marLeft w:val="461"/>
          <w:marRight w:val="0"/>
          <w:marTop w:val="120"/>
          <w:marBottom w:val="0"/>
          <w:divBdr>
            <w:top w:val="none" w:sz="0" w:space="0" w:color="auto"/>
            <w:left w:val="none" w:sz="0" w:space="0" w:color="auto"/>
            <w:bottom w:val="none" w:sz="0" w:space="0" w:color="auto"/>
            <w:right w:val="none" w:sz="0" w:space="0" w:color="auto"/>
          </w:divBdr>
        </w:div>
        <w:div w:id="1578828529">
          <w:marLeft w:val="461"/>
          <w:marRight w:val="0"/>
          <w:marTop w:val="12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31153-B9EF-4999-8683-70B0A4E0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2</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3372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2020-02-14T17:55:00Z</dcterms:created>
  <dcterms:modified xsi:type="dcterms:W3CDTF">2020-02-14T20:48:00Z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